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before="0" w:after="0"/>
        <w:jc w:val="center"/>
        <w:rPr>
          <w:rFonts w:ascii="Times New Roman;Times;Serif" w:hAnsi="Times New Roman;Times;Serif"/>
          <w:b/>
          <w:i w:val="false"/>
          <w:caps w:val="false"/>
          <w:smallCaps w:val="false"/>
          <w:sz w:val="20"/>
        </w:rPr>
      </w:pPr>
      <w:bookmarkStart w:id="0" w:name="v396159_6-k.htm"/>
      <w:bookmarkStart w:id="1" w:name="ksv396159_6k"/>
      <w:bookmarkEnd w:id="0"/>
      <w:bookmarkEnd w:id="1"/>
      <w:r>
        <w:rPr>
          <w:rFonts w:ascii="Times New Roman;Times;Serif" w:hAnsi="Times New Roman;Times;Serif"/>
          <w:b/>
          <w:i w:val="false"/>
          <w:caps w:val="false"/>
          <w:smallCaps w:val="false"/>
          <w:sz w:val="20"/>
        </w:rPr>
        <w:t>UNITED STATES</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SECURITIES AND EXCHANGE COMMISSION</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Washington, D.C. 20549</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FORM 6-K</w:t>
      </w:r>
    </w:p>
    <w:p>
      <w:pPr>
        <w:pStyle w:val="TextBody"/>
        <w:spacing w:before="0" w:after="0"/>
        <w:jc w:val="center"/>
        <w:rPr>
          <w:caps w:val="false"/>
          <w:smallCaps w:val="false"/>
        </w:rPr>
      </w:pPr>
      <w:r>
        <w:rPr>
          <w:caps w:val="false"/>
          <w:smallCaps w:val="false"/>
        </w:rPr>
        <w:t> </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REPORT OF FOREIGN PRIVATE ISSUER</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RULE 13a-16 OR 15d-16 UNDER THE</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SECURITIES EXCHANGE ACT OF 1934</w:t>
      </w:r>
    </w:p>
    <w:p>
      <w:pPr>
        <w:pStyle w:val="TextBody"/>
        <w:spacing w:before="0" w:after="0"/>
        <w:jc w:val="center"/>
        <w:rPr>
          <w:caps w:val="false"/>
          <w:smallCaps w:val="false"/>
        </w:rPr>
      </w:pPr>
      <w:r>
        <w:rPr>
          <w:caps w:val="false"/>
          <w:smallCaps w:val="false"/>
        </w:rPr>
        <w:t> </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 the month of December, 2014</w:t>
      </w:r>
    </w:p>
    <w:p>
      <w:pPr>
        <w:pStyle w:val="TextBody"/>
        <w:spacing w:before="0" w:after="0"/>
        <w:jc w:val="center"/>
        <w:rPr>
          <w:caps w:val="false"/>
          <w:smallCaps w:val="false"/>
        </w:rPr>
      </w:pPr>
      <w:r>
        <w:rPr>
          <w:caps w:val="false"/>
          <w:smallCaps w:val="false"/>
        </w:rPr>
        <w:t> </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S.A.</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(Exact name of Registrant as specified in its Charter)</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FOREIGN TRADE BANK OF LATIN AMERICA, INC.</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(Translation of Registrant’s name into English)</w:t>
      </w:r>
    </w:p>
    <w:p>
      <w:pPr>
        <w:pStyle w:val="TextBody"/>
        <w:spacing w:before="0" w:after="0"/>
        <w:jc w:val="center"/>
        <w:rPr>
          <w:caps w:val="false"/>
          <w:smallCaps w:val="false"/>
        </w:rPr>
      </w:pPr>
      <w:r>
        <w:rPr>
          <w:caps w:val="false"/>
          <w:smallCaps w:val="false"/>
        </w:rPr>
        <w:t> </w:t>
      </w:r>
    </w:p>
    <w:p>
      <w:pPr>
        <w:pStyle w:val="TextBody"/>
        <w:spacing w:before="0" w:after="0"/>
        <w:jc w:val="center"/>
        <w:rPr>
          <w:caps w:val="false"/>
          <w:smallCaps w:val="false"/>
        </w:rPr>
      </w:pPr>
      <w:r>
        <w:rPr>
          <w:caps w:val="false"/>
          <w:smallCaps w:val="false"/>
        </w:rPr>
        <w:t> </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Business Park Torre V, Ave. La Rotonda, Costa del Este</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P.O. Box 0819-08730</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Panama City, Republic of Panama</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(Address of Registrant’s Principal Executive Offices)</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whether the registrant files or will file annual reports under cover of Form 20-F or Form 40-F.)</w:t>
      </w:r>
    </w:p>
    <w:p>
      <w:pPr>
        <w:pStyle w:val="TextBody"/>
        <w:spacing w:before="0" w:after="0"/>
        <w:ind w:left="0" w:right="0" w:hanging="0"/>
        <w:jc w:val="both"/>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Form 20-F ☒ Form 40-F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whether the registrant by furnishing the information contained in this Form is also thereby furnishing information to the Commission pursuant to Rule 12g-3-2(b) under the Securities Exchange Act of 1934.)</w:t>
      </w:r>
    </w:p>
    <w:p>
      <w:pPr>
        <w:pStyle w:val="TextBody"/>
        <w:spacing w:before="0" w:after="0"/>
        <w:ind w:left="0" w:right="0" w:hanging="0"/>
        <w:jc w:val="both"/>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Yes ☐  No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(If “Yes” is marked, indicate below the file number assigned to the registrant in connection with Rule 12g3-2(b). 82__.)</w:t>
      </w:r>
    </w:p>
    <w:p>
      <w:pPr>
        <w:pStyle w:val="TextBody"/>
        <w:spacing w:before="0" w:after="0"/>
        <w:ind w:left="0" w:right="0" w:hanging="0"/>
        <w:jc w:val="center"/>
        <w:rPr>
          <w:caps w:val="false"/>
          <w:smallCaps w:val="false"/>
        </w:rPr>
      </w:pPr>
      <w:r>
        <w:rPr>
          <w:caps w:val="false"/>
          <w:smallCaps w:val="false"/>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SIGNATURES</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the requirements of the Securities Exchange Act of 1934, the registrant has duly caused this report to be signed on its behalf by the undersigned, thereto duly authorized.</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December 9, 2014</w:t>
      </w:r>
    </w:p>
    <w:tbl>
      <w:tblPr>
        <w:tblW w:w="6500" w:type="dxa"/>
        <w:jc w:val="left"/>
        <w:tblInd w:w="0" w:type="dxa"/>
        <w:tblCellMar>
          <w:top w:w="0" w:type="dxa"/>
          <w:left w:w="0" w:type="dxa"/>
          <w:bottom w:w="0" w:type="dxa"/>
          <w:right w:w="0" w:type="dxa"/>
        </w:tblCellMar>
      </w:tblPr>
      <w:tblGrid>
        <w:gridCol w:w="795"/>
        <w:gridCol w:w="5705"/>
      </w:tblGrid>
      <w:tr>
        <w:trPr/>
        <w:tc>
          <w:tcPr>
            <w:tcW w:w="795" w:type="dxa"/>
            <w:tcBorders/>
            <w:shd w:fill="auto" w:val="clear"/>
            <w:vAlign w:val="center"/>
          </w:tcPr>
          <w:p>
            <w:pPr>
              <w:pStyle w:val="TableContents"/>
              <w:spacing w:before="0" w:after="283"/>
              <w:jc w:val="both"/>
              <w:rPr/>
            </w:pPr>
            <w:r>
              <w:rPr/>
              <w:t> </w:t>
            </w:r>
          </w:p>
        </w:tc>
        <w:tc>
          <w:tcPr>
            <w:tcW w:w="5705" w:type="dxa"/>
            <w:tcBorders/>
            <w:shd w:fill="auto" w:val="clear"/>
            <w:vAlign w:val="center"/>
          </w:tcPr>
          <w:p>
            <w:pPr>
              <w:pStyle w:val="TableContents"/>
              <w:spacing w:before="0" w:after="283"/>
              <w:jc w:val="both"/>
              <w:rPr/>
            </w:pPr>
            <w:r>
              <w:rPr/>
              <w:t>FOREIGN TRADE BANK OF LATIN AMERICA, INC.</w:t>
            </w:r>
          </w:p>
        </w:tc>
      </w:tr>
      <w:tr>
        <w:trPr/>
        <w:tc>
          <w:tcPr>
            <w:tcW w:w="795" w:type="dxa"/>
            <w:tcBorders/>
            <w:shd w:fill="auto" w:val="clear"/>
            <w:vAlign w:val="center"/>
          </w:tcPr>
          <w:p>
            <w:pPr>
              <w:pStyle w:val="TableContents"/>
              <w:spacing w:before="0" w:after="283"/>
              <w:jc w:val="both"/>
              <w:rPr/>
            </w:pPr>
            <w:r>
              <w:rPr/>
              <w:t> </w:t>
            </w:r>
          </w:p>
        </w:tc>
        <w:tc>
          <w:tcPr>
            <w:tcW w:w="5705" w:type="dxa"/>
            <w:tcBorders/>
            <w:shd w:fill="auto" w:val="clear"/>
            <w:vAlign w:val="center"/>
          </w:tcPr>
          <w:p>
            <w:pPr>
              <w:pStyle w:val="TableContents"/>
              <w:spacing w:before="0" w:after="283"/>
              <w:jc w:val="both"/>
              <w:rPr/>
            </w:pPr>
            <w:r>
              <w:rPr/>
              <w:t> </w:t>
            </w:r>
          </w:p>
        </w:tc>
      </w:tr>
      <w:tr>
        <w:trPr/>
        <w:tc>
          <w:tcPr>
            <w:tcW w:w="795" w:type="dxa"/>
            <w:tcBorders/>
            <w:shd w:fill="auto" w:val="clear"/>
            <w:vAlign w:val="center"/>
          </w:tcPr>
          <w:p>
            <w:pPr>
              <w:pStyle w:val="TableContents"/>
              <w:spacing w:before="0" w:after="283"/>
              <w:jc w:val="both"/>
              <w:rPr/>
            </w:pPr>
            <w:r>
              <w:rPr/>
              <w:t> </w:t>
            </w:r>
          </w:p>
        </w:tc>
        <w:tc>
          <w:tcPr>
            <w:tcW w:w="5705" w:type="dxa"/>
            <w:tcBorders/>
            <w:shd w:fill="auto" w:val="clear"/>
            <w:vAlign w:val="center"/>
          </w:tcPr>
          <w:p>
            <w:pPr>
              <w:pStyle w:val="TableContents"/>
              <w:spacing w:before="0" w:after="283"/>
              <w:jc w:val="both"/>
              <w:rPr/>
            </w:pPr>
            <w:r>
              <w:rPr/>
              <w:t> </w:t>
            </w:r>
          </w:p>
        </w:tc>
      </w:tr>
      <w:tr>
        <w:trPr/>
        <w:tc>
          <w:tcPr>
            <w:tcW w:w="795" w:type="dxa"/>
            <w:tcBorders/>
            <w:shd w:fill="auto" w:val="clear"/>
            <w:vAlign w:val="center"/>
          </w:tcPr>
          <w:p>
            <w:pPr>
              <w:pStyle w:val="TableContents"/>
              <w:spacing w:before="0" w:after="283"/>
              <w:jc w:val="both"/>
              <w:rPr/>
            </w:pPr>
            <w:r>
              <w:rPr/>
              <w:t> </w:t>
            </w:r>
          </w:p>
        </w:tc>
        <w:tc>
          <w:tcPr>
            <w:tcW w:w="5705" w:type="dxa"/>
            <w:tcBorders/>
            <w:shd w:fill="auto" w:val="clear"/>
            <w:vAlign w:val="center"/>
          </w:tcPr>
          <w:p>
            <w:pPr>
              <w:pStyle w:val="TableContents"/>
              <w:spacing w:before="0" w:after="283"/>
              <w:jc w:val="both"/>
              <w:rPr/>
            </w:pPr>
            <w:r>
              <w:rPr/>
              <w:t> </w:t>
            </w:r>
          </w:p>
        </w:tc>
      </w:tr>
      <w:tr>
        <w:trPr/>
        <w:tc>
          <w:tcPr>
            <w:tcW w:w="795" w:type="dxa"/>
            <w:tcBorders/>
            <w:shd w:fill="auto" w:val="clear"/>
            <w:vAlign w:val="center"/>
          </w:tcPr>
          <w:p>
            <w:pPr>
              <w:pStyle w:val="TableContents"/>
              <w:spacing w:before="0" w:after="283"/>
              <w:ind w:left="0" w:right="0" w:firstLine="720"/>
              <w:jc w:val="both"/>
              <w:rPr/>
            </w:pPr>
            <w:r>
              <w:rPr/>
              <w:t> </w:t>
            </w:r>
          </w:p>
        </w:tc>
        <w:tc>
          <w:tcPr>
            <w:tcW w:w="5705" w:type="dxa"/>
            <w:tcBorders/>
            <w:shd w:fill="auto" w:val="clear"/>
            <w:vAlign w:val="center"/>
          </w:tcPr>
          <w:p>
            <w:pPr>
              <w:pStyle w:val="TableContents"/>
              <w:spacing w:before="0" w:after="283"/>
              <w:jc w:val="both"/>
              <w:rPr/>
            </w:pPr>
            <w:r>
              <w:rPr/>
              <w:t>By: /s/ Pedro Toll</w:t>
            </w:r>
          </w:p>
        </w:tc>
      </w:tr>
      <w:tr>
        <w:trPr/>
        <w:tc>
          <w:tcPr>
            <w:tcW w:w="795" w:type="dxa"/>
            <w:tcBorders/>
            <w:shd w:fill="auto" w:val="clear"/>
            <w:vAlign w:val="center"/>
          </w:tcPr>
          <w:p>
            <w:pPr>
              <w:pStyle w:val="TableContents"/>
              <w:spacing w:before="0" w:after="283"/>
              <w:jc w:val="both"/>
              <w:rPr/>
            </w:pPr>
            <w:r>
              <w:rPr/>
              <w:t> </w:t>
            </w:r>
          </w:p>
        </w:tc>
        <w:tc>
          <w:tcPr>
            <w:tcW w:w="5705" w:type="dxa"/>
            <w:tcBorders/>
            <w:shd w:fill="auto" w:val="clear"/>
            <w:vAlign w:val="center"/>
          </w:tcPr>
          <w:p>
            <w:pPr>
              <w:pStyle w:val="TableContents"/>
              <w:spacing w:before="0" w:after="283"/>
              <w:jc w:val="both"/>
              <w:rPr/>
            </w:pPr>
            <w:r>
              <w:rPr/>
              <w:t> </w:t>
            </w:r>
          </w:p>
        </w:tc>
      </w:tr>
      <w:tr>
        <w:trPr/>
        <w:tc>
          <w:tcPr>
            <w:tcW w:w="795" w:type="dxa"/>
            <w:tcBorders/>
            <w:shd w:fill="auto" w:val="clear"/>
            <w:vAlign w:val="center"/>
          </w:tcPr>
          <w:p>
            <w:pPr>
              <w:pStyle w:val="TableContents"/>
              <w:spacing w:before="0" w:after="283"/>
              <w:ind w:left="0" w:right="0" w:firstLine="720"/>
              <w:jc w:val="both"/>
              <w:rPr/>
            </w:pPr>
            <w:r>
              <w:rPr/>
              <w:t> </w:t>
            </w:r>
          </w:p>
        </w:tc>
        <w:tc>
          <w:tcPr>
            <w:tcW w:w="5705" w:type="dxa"/>
            <w:tcBorders/>
            <w:shd w:fill="auto" w:val="clear"/>
            <w:vAlign w:val="center"/>
          </w:tcPr>
          <w:p>
            <w:pPr>
              <w:pStyle w:val="TableContents"/>
              <w:spacing w:before="0" w:after="283"/>
              <w:jc w:val="both"/>
              <w:rPr/>
            </w:pPr>
            <w:r>
              <w:rPr/>
              <w:t>Name: Pedro Toll</w:t>
            </w:r>
          </w:p>
        </w:tc>
      </w:tr>
      <w:tr>
        <w:trPr/>
        <w:tc>
          <w:tcPr>
            <w:tcW w:w="795" w:type="dxa"/>
            <w:tcBorders/>
            <w:shd w:fill="auto" w:val="clear"/>
            <w:vAlign w:val="center"/>
          </w:tcPr>
          <w:p>
            <w:pPr>
              <w:pStyle w:val="TableContents"/>
              <w:spacing w:before="0" w:after="283"/>
              <w:ind w:left="0" w:right="0" w:firstLine="720"/>
              <w:jc w:val="both"/>
              <w:rPr/>
            </w:pPr>
            <w:r>
              <w:rPr/>
              <w:t> </w:t>
            </w:r>
          </w:p>
        </w:tc>
        <w:tc>
          <w:tcPr>
            <w:tcW w:w="5705" w:type="dxa"/>
            <w:tcBorders/>
            <w:shd w:fill="auto" w:val="clear"/>
            <w:vAlign w:val="center"/>
          </w:tcPr>
          <w:p>
            <w:pPr>
              <w:pStyle w:val="TableContents"/>
              <w:spacing w:before="0" w:after="283"/>
              <w:jc w:val="both"/>
              <w:rPr/>
            </w:pPr>
            <w:r>
              <w:rPr/>
              <w:t>Title: General Manager</w:t>
            </w:r>
          </w:p>
        </w:tc>
      </w:tr>
    </w:tbl>
    <w:p>
      <w:pPr>
        <w:pStyle w:val="TextBody"/>
        <w:spacing w:before="0" w:after="0"/>
        <w:ind w:left="0" w:right="0" w:hanging="0"/>
        <w:jc w:val="both"/>
        <w:rPr>
          <w:caps w:val="false"/>
          <w:smallCaps w:val="false"/>
        </w:rPr>
      </w:pPr>
      <w:r>
        <w:rPr>
          <w:caps w:val="false"/>
          <w:smallCaps w:val="false"/>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jc w:val="center"/>
        <w:rPr>
          <w:caps w:val="false"/>
          <w:smallCaps w:val="false"/>
        </w:rPr>
      </w:pPr>
      <w:r>
        <w:rPr>
          <w:caps w:val="false"/>
          <w:smallCaps w:val="false"/>
        </w:rPr>
        <w:t> </w:t>
      </w:r>
      <w:r>
        <w:rPr>
          <w:caps w:val="false"/>
          <w:smallCaps w:val="false"/>
        </w:rPr>
        <w:drawing>
          <wp:inline distT="0" distB="0" distL="0" distR="0">
            <wp:extent cx="1657350" cy="533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657350" cy="533400"/>
                    </a:xfrm>
                    <a:prstGeom prst="rect">
                      <a:avLst/>
                    </a:prstGeom>
                  </pic:spPr>
                </pic:pic>
              </a:graphicData>
            </a:graphic>
          </wp:inline>
        </w:drawing>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 IMMEDIATE RELEASE</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firstLine="72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BLADEX ANNOUNCES QUARTERLY DIVIDEND PAYMENT</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 xml:space="preserve">FOR FOURTH QUARTER 2014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sz w:val="20"/>
        </w:rPr>
        <w:t>Panama City, Republic of Panama, December 9 2014</w:t>
      </w:r>
      <w:r>
        <w:rPr>
          <w:rFonts w:ascii="Times New Roman;Times;Serif" w:hAnsi="Times New Roman;Times;Serif"/>
          <w:b w:val="false"/>
          <w:i w:val="false"/>
          <w:caps w:val="false"/>
          <w:smallCaps w:val="false"/>
          <w:sz w:val="20"/>
        </w:rPr>
        <w:t xml:space="preserve"> - Banco Latinoamericano de Comercio Exterior, S.A. (Bladex) (NYSE: BLX), announced today a quarterly cash dividend of US$0.385 per share corresponding to the fourth quarter 2014.</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At its meeting held on December 8, 2014, the Board of Directors ratified its commitment to continuing its established dividend approach that reflects the development and growth of the Bank’s core business. Consequently, the Board of Directors declared a quarterly dividend of $0.385 per share, corresponding to the fourth quarter 2014. This represents an increase of $0.035 or 10%, compared to the previous quarterly dividend.</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dividend will be payable on January 13, 2015, to the Bank’s stockholders as of the January 5, 2015 record date.</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As of November 30, 2014, Bladex had 38,781,391.28 shares outstanding of all classes.</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Bladex is a supranational bank established by the central banks of Latin-American and Caribbean countries, to promote foreign trade finance and economic integration in the Region. Bladex is listed on the NYSE-Euronext in the United States (ticker symbol: BLX).</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Bladex’s shareholders include central banks, state-owned entities and commercial banks from 23 Latin America countries, as well as international banks and institutional and retail investors through its public listing.</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Bank, headquartered in Panama, has offices in Argentina, Brazil, Colombia, Mexico, Peru, and the United States of America, to support the expansion and servicing of its client base, which includes financial institutions and corporations.</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 further information, please access Bladex’s website on the Internet at www.bladex.com or contact:</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val="false"/>
          <w:i w:val="false"/>
          <w:caps w:val="false"/>
          <w:smallCaps w:val="false"/>
          <w:sz w:val="20"/>
          <w:bdr w:val="single" w:sz="8" w:space="1" w:color="000000"/>
        </w:rPr>
      </w:pPr>
      <w:r>
        <w:rPr>
          <w:rFonts w:ascii="Times New Roman;Times;Serif" w:hAnsi="Times New Roman;Times;Serif"/>
          <w:b w:val="false"/>
          <w:i w:val="false"/>
          <w:caps w:val="false"/>
          <w:smallCaps w:val="false"/>
          <w:sz w:val="20"/>
          <w:bdr w:val="single" w:sz="8" w:space="1" w:color="000000"/>
        </w:rPr>
        <w:t>Bladex, Head Office, Torre V, Business Park, Avenida La Rotonda, Urb. Costa del Este,</w:t>
      </w:r>
    </w:p>
    <w:p>
      <w:pPr>
        <w:pStyle w:val="TextBody"/>
        <w:spacing w:before="0" w:after="0"/>
        <w:ind w:left="0" w:right="0" w:hanging="0"/>
        <w:rPr>
          <w:rFonts w:ascii="Times New Roman;Times;Serif" w:hAnsi="Times New Roman;Times;Serif"/>
          <w:b w:val="false"/>
          <w:i w:val="false"/>
          <w:caps w:val="false"/>
          <w:smallCaps w:val="false"/>
          <w:sz w:val="20"/>
          <w:bdr w:val="single" w:sz="8" w:space="1" w:color="000000"/>
        </w:rPr>
      </w:pPr>
      <w:r>
        <w:rPr>
          <w:rFonts w:ascii="Times New Roman;Times;Serif" w:hAnsi="Times New Roman;Times;Serif"/>
          <w:b w:val="false"/>
          <w:i w:val="false"/>
          <w:caps w:val="false"/>
          <w:smallCaps w:val="false"/>
          <w:sz w:val="20"/>
          <w:bdr w:val="single" w:sz="8" w:space="1" w:color="000000"/>
        </w:rPr>
        <w:t>Panama, Republic of Panama</w:t>
      </w:r>
    </w:p>
    <w:p>
      <w:pPr>
        <w:pStyle w:val="TextBody"/>
        <w:spacing w:before="0" w:after="0"/>
        <w:ind w:left="0" w:right="0" w:hanging="0"/>
        <w:rPr>
          <w:rFonts w:ascii="Times New Roman;Times;Serif" w:hAnsi="Times New Roman;Times;Serif"/>
          <w:b w:val="false"/>
          <w:i w:val="false"/>
          <w:caps w:val="false"/>
          <w:smallCaps w:val="false"/>
          <w:sz w:val="20"/>
          <w:bdr w:val="single" w:sz="8" w:space="1" w:color="000000"/>
        </w:rPr>
      </w:pPr>
      <w:r>
        <w:rPr>
          <w:rFonts w:ascii="Times New Roman;Times;Serif" w:hAnsi="Times New Roman;Times;Serif"/>
          <w:b w:val="false"/>
          <w:i w:val="false"/>
          <w:caps w:val="false"/>
          <w:smallCaps w:val="false"/>
          <w:sz w:val="20"/>
          <w:bdr w:val="single" w:sz="8" w:space="1" w:color="000000"/>
        </w:rPr>
        <w:t>Mr. Christopher Schech, Chief Financial Officer</w:t>
      </w:r>
    </w:p>
    <w:p>
      <w:pPr>
        <w:pStyle w:val="TextBody"/>
        <w:spacing w:before="0" w:after="0"/>
        <w:ind w:left="0" w:right="0" w:hanging="0"/>
        <w:rPr>
          <w:rFonts w:ascii="Times New Roman;Times;Serif" w:hAnsi="Times New Roman;Times;Serif"/>
          <w:b w:val="false"/>
          <w:i w:val="false"/>
          <w:caps w:val="false"/>
          <w:smallCaps w:val="false"/>
          <w:sz w:val="20"/>
          <w:bdr w:val="single" w:sz="8" w:space="1" w:color="000000"/>
        </w:rPr>
      </w:pPr>
      <w:r>
        <w:rPr>
          <w:rFonts w:ascii="Times New Roman;Times;Serif" w:hAnsi="Times New Roman;Times;Serif"/>
          <w:b w:val="false"/>
          <w:i w:val="false"/>
          <w:caps w:val="false"/>
          <w:smallCaps w:val="false"/>
          <w:sz w:val="20"/>
          <w:bdr w:val="single" w:sz="8" w:space="1" w:color="000000"/>
        </w:rPr>
        <w:t>Tel.: (507) 210-8630, E-mail: cschech@bladex.com</w:t>
      </w:r>
    </w:p>
    <w:p>
      <w:pPr>
        <w:pStyle w:val="TextBody"/>
        <w:spacing w:before="0" w:after="0"/>
        <w:ind w:left="0" w:right="0" w:hanging="0"/>
        <w:rPr>
          <w:caps w:val="false"/>
          <w:smallCaps w:val="false"/>
        </w:rPr>
      </w:pPr>
      <w:r>
        <w:rPr>
          <w:caps w:val="false"/>
          <w:smallCaps w:val="false"/>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283"/>
        <w:ind w:left="0" w:right="0" w:hanging="0"/>
        <w:rPr/>
      </w:pPr>
      <w:r>
        <w:br w:type="page"/>
      </w:r>
      <w:r>
        <w:rPr/>
      </w:r>
    </w:p>
    <w:sectPr>
      <w:type w:val="nextPage"/>
      <w:pgSz w:w="11906" w:h="16838"/>
      <w:pgMar w:left="1134" w:right="567" w:header="0" w:top="567" w:footer="0" w:bottom="56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Unicode MS">
    <w:charset w:val="00"/>
    <w:family w:val="auto"/>
    <w:pitch w:val="variable"/>
  </w:font>
  <w:font w:name="Liberation Sans">
    <w:altName w:val="Arial"/>
    <w:charset w:val="00"/>
    <w:family w:val="swiss"/>
    <w:pitch w:val="variable"/>
  </w:font>
  <w:font w:name="Times New Roman">
    <w:altName w:val="Times"/>
    <w:charset w:val="00"/>
    <w:family w:val="auto"/>
    <w:pitch w:val="default"/>
  </w:font>
</w:fonts>
</file>

<file path=word/settings.xml><?xml version="1.0" encoding="utf-8"?>
<w:settings xmlns:w="http://schemas.openxmlformats.org/wordprocessingml/2006/main">
  <w:zoom w:percent="100"/>
  <w:defaultTabStop w:val="1134"/>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DejaVu Sans" w:cs="DejaVu Sans"/>
      <w:color w:val="auto"/>
      <w:sz w:val="24"/>
      <w:szCs w:val="24"/>
      <w:lang w:val="en-US" w:eastAsia="zh-CN" w:bidi="hi-IN"/>
    </w:rPr>
  </w:style>
  <w:style w:type="paragraph" w:styleId="Heading1">
    <w:name w:val="Heading 1"/>
    <w:basedOn w:val="Heading"/>
    <w:next w:val="TextBody"/>
    <w:qFormat/>
    <w:pPr/>
    <w:rPr>
      <w:rFonts w:ascii="Liberation Sans Unicode MS" w:hAnsi="Liberation Sans Unicode MS"/>
      <w:b/>
      <w:bCs/>
      <w:sz w:val="48"/>
      <w:szCs w:val="44"/>
    </w:rPr>
  </w:style>
  <w:style w:type="character" w:styleId="EndnoteCharacters">
    <w:name w:val="Endnote Characters"/>
    <w:qFormat/>
    <w:rPr/>
  </w:style>
  <w:style w:type="character" w:styleId="FootnoteCharacters">
    <w:name w:val="Footnote Characters"/>
    <w:qFormat/>
    <w:rPr/>
  </w:style>
  <w:style w:type="character" w:styleId="InternetLink">
    <w:name w:val="Internet Link"/>
    <w:rPr>
      <w:color w:val="000080"/>
      <w:u w:val="single"/>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TextBody">
    <w:name w:val="Body Text"/>
    <w:basedOn w:val="Normal"/>
    <w:pPr>
      <w:spacing w:before="0" w:after="283"/>
    </w:pPr>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 w:type="paragraph" w:styleId="Heading">
    <w:name w:val="Heading"/>
    <w:basedOn w:val="Normal"/>
    <w:next w:val="TextBody"/>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TextBody"/>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LibreOffice/6.2.2.2$Linux_X86_64 LibreOffice_project/2b840030fec2aae0fd2658d8d4f9548af4e3518d</Application>
  <Pages>4</Pages>
  <Words>513</Words>
  <CharactersWithSpaces>3390</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